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10631"/>
      </w:tblGrid>
      <w:tr w:rsidR="009B098D" w:rsidRPr="00DA4FC0" w:rsidTr="00E2360E">
        <w:trPr>
          <w:trHeight w:val="2015"/>
        </w:trPr>
        <w:tc>
          <w:tcPr>
            <w:tcW w:w="10631" w:type="dxa"/>
          </w:tcPr>
          <w:p w:rsidR="009B098D" w:rsidRPr="00E2360E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DA1C5E" w:rsidRDefault="009B098D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</w:pPr>
            <w:r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>Информационный листок</w:t>
            </w:r>
            <w:r w:rsidR="00DA1C5E"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 xml:space="preserve"> </w:t>
            </w:r>
          </w:p>
          <w:p w:rsidR="00B74EEE" w:rsidRPr="00B74EEE" w:rsidRDefault="00B74EEE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18"/>
                <w:szCs w:val="56"/>
                <w:lang w:val="ru-RU"/>
              </w:rPr>
            </w:pPr>
          </w:p>
          <w:p w:rsidR="00DA4FC0" w:rsidRPr="00DA4FC0" w:rsidRDefault="00DA4FC0" w:rsidP="00DA4FC0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</w:pPr>
            <w:r w:rsidRPr="00DA4FC0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  <w:t>Заморозку цен на удобрения в России продлили до конца мая 2022 года</w:t>
            </w:r>
          </w:p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DA4FC0" w:rsidRPr="00DA4FC0" w:rsidRDefault="00DA4FC0" w:rsidP="00DA4FC0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DA4FC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Производители минеральных удобрений в России зафиксируют цены для отечественных аграриев до конца мая 2022 года, чтобы "захватить" весеннюю посевную кампанию. Об этом сообщил замглавы </w:t>
      </w:r>
      <w:proofErr w:type="spellStart"/>
      <w:r w:rsidRPr="00DA4FC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Минпромторга</w:t>
      </w:r>
      <w:proofErr w:type="spellEnd"/>
      <w:r w:rsidRPr="00DA4FC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 РФ Михаил Иванов. По его словам, правительство уже поддержало эту идею.</w:t>
      </w:r>
    </w:p>
    <w:p w:rsidR="00DA4FC0" w:rsidRPr="00DA4FC0" w:rsidRDefault="00DA4FC0" w:rsidP="00DA4FC0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DA4FC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"Производители удобрений приняли инициативно решение о том, чтобы преодолеть эту ситуацию, которая сейчас происходит на мировом рынке цен на газ и минеральных удобрений, чтобы поддержать российских аграриев, которые для нас являются безусловным приоритетом", - цитирует Иванова </w:t>
      </w:r>
      <w:hyperlink r:id="rId9" w:tgtFrame="_blank" w:history="1">
        <w:r w:rsidRPr="00DA4FC0">
          <w:rPr>
            <w:rStyle w:val="a3"/>
            <w:rFonts w:ascii="Times New Roman" w:hAnsi="Times New Roman"/>
            <w:bCs/>
            <w:spacing w:val="3"/>
            <w:sz w:val="28"/>
            <w:szCs w:val="28"/>
            <w:lang w:val="ru-RU"/>
          </w:rPr>
          <w:t>ТАСС</w:t>
        </w:r>
      </w:hyperlink>
      <w:r w:rsidRPr="00DA4FC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.</w:t>
      </w:r>
    </w:p>
    <w:p w:rsidR="00DA4FC0" w:rsidRPr="00DA4FC0" w:rsidRDefault="00DA4FC0" w:rsidP="00DA4FC0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DA4FC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Цены на азотные удобрения в мире в этом году достигли максимума с 2008 года, на фоне этого отечественные аграрии опасались дефицита и удорожания удобрений. Причиной тому стал ценовой кризис на газовом рынке ЕС: голубое топливо является основным источником производства удобрений.</w:t>
      </w:r>
    </w:p>
    <w:p w:rsidR="00DA4FC0" w:rsidRPr="00DA4FC0" w:rsidRDefault="00DA4FC0" w:rsidP="00DA4FC0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DA4FC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В итоге цены на ряд удобрений для внутреннего рынка РФ были заморожены в июле, а в октябре эти меры продлили до конца года. Власти до этого обсуждали </w:t>
      </w:r>
      <w:proofErr w:type="gramStart"/>
      <w:r w:rsidRPr="00DA4FC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с производителями возможность продления заморозки цен на аммиачную селитру на период весенней посевной с гарантией приоритетных поставок на рынок</w:t>
      </w:r>
      <w:proofErr w:type="gramEnd"/>
      <w:r w:rsidRPr="00DA4FC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 РФ.</w:t>
      </w: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bookmarkStart w:id="0" w:name="_GoBack"/>
      <w:bookmarkEnd w:id="0"/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E11421">
      <w:pPr>
        <w:spacing w:line="360" w:lineRule="auto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17516F" w:rsidRDefault="0017516F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 wp14:anchorId="543A117C" wp14:editId="52BD9F7B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17516F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17516F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75-21-02,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75-21-05</w:t>
      </w:r>
    </w:p>
    <w:p w:rsidR="00727C5D" w:rsidRPr="00727C5D" w:rsidRDefault="0017516F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       </w:t>
      </w:r>
      <w:hyperlink r:id="rId11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2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A7" w:rsidRDefault="00F70BA7" w:rsidP="005E61A5">
      <w:r>
        <w:separator/>
      </w:r>
    </w:p>
  </w:endnote>
  <w:endnote w:type="continuationSeparator" w:id="0">
    <w:p w:rsidR="00F70BA7" w:rsidRDefault="00F70BA7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BC4C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F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A7" w:rsidRDefault="00F70BA7" w:rsidP="005E61A5">
      <w:r>
        <w:separator/>
      </w:r>
    </w:p>
  </w:footnote>
  <w:footnote w:type="continuationSeparator" w:id="0">
    <w:p w:rsidR="00F70BA7" w:rsidRDefault="00F70BA7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35211"/>
    <w:rsid w:val="001471B0"/>
    <w:rsid w:val="00155F79"/>
    <w:rsid w:val="0016622D"/>
    <w:rsid w:val="0017255A"/>
    <w:rsid w:val="0017516F"/>
    <w:rsid w:val="00180DAC"/>
    <w:rsid w:val="00190DA0"/>
    <w:rsid w:val="001D6E67"/>
    <w:rsid w:val="001D7F66"/>
    <w:rsid w:val="001E0059"/>
    <w:rsid w:val="001E4E87"/>
    <w:rsid w:val="002001F6"/>
    <w:rsid w:val="00220EC0"/>
    <w:rsid w:val="00222406"/>
    <w:rsid w:val="00277C9B"/>
    <w:rsid w:val="00277D16"/>
    <w:rsid w:val="00281A12"/>
    <w:rsid w:val="00286032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54CF0"/>
    <w:rsid w:val="00355B6F"/>
    <w:rsid w:val="00370395"/>
    <w:rsid w:val="00372E31"/>
    <w:rsid w:val="00380208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3B76"/>
    <w:rsid w:val="004075F3"/>
    <w:rsid w:val="00412318"/>
    <w:rsid w:val="00432996"/>
    <w:rsid w:val="004467A0"/>
    <w:rsid w:val="004500CA"/>
    <w:rsid w:val="00454223"/>
    <w:rsid w:val="004866AE"/>
    <w:rsid w:val="004A3C87"/>
    <w:rsid w:val="004A6EF4"/>
    <w:rsid w:val="004C3D6D"/>
    <w:rsid w:val="004D0C7E"/>
    <w:rsid w:val="0050437C"/>
    <w:rsid w:val="0051392D"/>
    <w:rsid w:val="0053346D"/>
    <w:rsid w:val="00541CD9"/>
    <w:rsid w:val="00542B4B"/>
    <w:rsid w:val="00546E57"/>
    <w:rsid w:val="0056062A"/>
    <w:rsid w:val="005763E1"/>
    <w:rsid w:val="0058603F"/>
    <w:rsid w:val="00590E2D"/>
    <w:rsid w:val="005A6502"/>
    <w:rsid w:val="005E136C"/>
    <w:rsid w:val="005E61A5"/>
    <w:rsid w:val="00603D82"/>
    <w:rsid w:val="0060521B"/>
    <w:rsid w:val="00634E72"/>
    <w:rsid w:val="006356F8"/>
    <w:rsid w:val="00657208"/>
    <w:rsid w:val="00660A39"/>
    <w:rsid w:val="0066102F"/>
    <w:rsid w:val="00687257"/>
    <w:rsid w:val="006A7B83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6436"/>
    <w:rsid w:val="00837072"/>
    <w:rsid w:val="00844B9C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E26C4"/>
    <w:rsid w:val="009F2C0D"/>
    <w:rsid w:val="009F4DBE"/>
    <w:rsid w:val="00A0466E"/>
    <w:rsid w:val="00A05F6B"/>
    <w:rsid w:val="00A27F42"/>
    <w:rsid w:val="00A407CF"/>
    <w:rsid w:val="00A60EF1"/>
    <w:rsid w:val="00A83A5B"/>
    <w:rsid w:val="00A95962"/>
    <w:rsid w:val="00A97778"/>
    <w:rsid w:val="00AA2DCF"/>
    <w:rsid w:val="00AB1105"/>
    <w:rsid w:val="00AC0669"/>
    <w:rsid w:val="00AD0C57"/>
    <w:rsid w:val="00AD33F0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B5CD4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9585B"/>
    <w:rsid w:val="00DA1C5E"/>
    <w:rsid w:val="00DA4FC0"/>
    <w:rsid w:val="00DB0ADA"/>
    <w:rsid w:val="00DC1E90"/>
    <w:rsid w:val="00DC2026"/>
    <w:rsid w:val="00DC50F9"/>
    <w:rsid w:val="00DC5D60"/>
    <w:rsid w:val="00DD496B"/>
    <w:rsid w:val="00DE417A"/>
    <w:rsid w:val="00DF0CDE"/>
    <w:rsid w:val="00E036D9"/>
    <w:rsid w:val="00E11421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D3D67"/>
    <w:rsid w:val="00EF7F32"/>
    <w:rsid w:val="00F114BE"/>
    <w:rsid w:val="00F20025"/>
    <w:rsid w:val="00F479BB"/>
    <w:rsid w:val="00F504A3"/>
    <w:rsid w:val="00F612D4"/>
    <w:rsid w:val="00F65791"/>
    <w:rsid w:val="00F70BA7"/>
    <w:rsid w:val="00F73AB7"/>
    <w:rsid w:val="00F94659"/>
    <w:rsid w:val="00FA5DE8"/>
    <w:rsid w:val="00FB083B"/>
    <w:rsid w:val="00FC02EF"/>
    <w:rsid w:val="00FF2B8E"/>
    <w:rsid w:val="00FF3C23"/>
    <w:rsid w:val="00FF4A21"/>
    <w:rsid w:val="00FF629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-ikc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ta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5E1B-827B-4B95-B00A-84919432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1548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24</cp:revision>
  <cp:lastPrinted>2016-09-21T07:14:00Z</cp:lastPrinted>
  <dcterms:created xsi:type="dcterms:W3CDTF">2016-03-28T07:04:00Z</dcterms:created>
  <dcterms:modified xsi:type="dcterms:W3CDTF">2021-11-25T07:34:00Z</dcterms:modified>
</cp:coreProperties>
</file>