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4C6B25" w:rsidRPr="00FA40EA" w:rsidRDefault="004C6B2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</w:p>
          <w:p w:rsidR="004C6B25" w:rsidRPr="004C6B25" w:rsidRDefault="004C6B25" w:rsidP="004C6B25">
            <w:pPr>
              <w:pStyle w:val="ac"/>
              <w:spacing w:line="276" w:lineRule="auto"/>
              <w:ind w:firstLine="567"/>
              <w:jc w:val="center"/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</w:pPr>
            <w:r w:rsidRPr="004C6B25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Уходные работы на посевах гороха ранней весной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4C6B25" w:rsidRPr="002529BB" w:rsidRDefault="004C6B25" w:rsidP="004C6B25">
      <w:pPr>
        <w:pStyle w:val="ac"/>
        <w:spacing w:line="276" w:lineRule="auto"/>
        <w:rPr>
          <w:rFonts w:ascii="Times New Roman" w:hAnsi="Times New Roman"/>
          <w:b/>
        </w:rPr>
      </w:pPr>
    </w:p>
    <w:p w:rsidR="004C6B25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B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дворе конец марта – время, когда сельхозпроизводители региона традиционно проводят сев гороха. Ставропольский край является одним из крупнейших производителей гороха в России. Ежегодно посевные площади этой ценной белковой культуры на  Ставрополье варьируют от 160 до 200 тысяч гектаров.</w:t>
      </w: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возделывания гороха позволила выявить наиболее урожайные для каждой из почвенно-климатических зон сорта. Так, в округах второй  (засушливой) зоны края максимальную урожайность обеспечивают сорта Царевич, Лумп, Саламанка, Астронавт  и Багу. В третьей (неустойчивого увлажнения) зоне  постоянную прописку получили сорта Астронавт, Мадонна, Глянц, Готик, Ламанш, Лумп. В округах четвёртой (предгорной) зоны преимущественные площади занимают сорта Саламанка, Мадонна, Аксайский усатый, Астронавт.</w:t>
      </w:r>
    </w:p>
    <w:p w:rsidR="004C6B25" w:rsidRPr="00B131B9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>Почва для получения хорошего урожая гороха должна быть плодородна.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расчете необходимого количества удобр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 следует помни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 что на формирование 1 т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онны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семян гороху необходимо:</w:t>
      </w:r>
    </w:p>
    <w:p w:rsidR="004C6B25" w:rsidRPr="00B131B9" w:rsidRDefault="004C6B25" w:rsidP="004C6B25">
      <w:pPr>
        <w:numPr>
          <w:ilvl w:val="0"/>
          <w:numId w:val="5"/>
        </w:numPr>
        <w:shd w:val="clear" w:color="auto" w:fill="FDFDFD"/>
        <w:spacing w:after="0"/>
        <w:ind w:left="0" w:hanging="3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45–60 кг азота;</w:t>
      </w:r>
    </w:p>
    <w:p w:rsidR="004C6B25" w:rsidRPr="00B131B9" w:rsidRDefault="004C6B25" w:rsidP="004C6B25">
      <w:pPr>
        <w:numPr>
          <w:ilvl w:val="0"/>
          <w:numId w:val="5"/>
        </w:numPr>
        <w:shd w:val="clear" w:color="auto" w:fill="FDFDFD"/>
        <w:spacing w:after="0"/>
        <w:ind w:left="0" w:hanging="3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16–20 кг фосфора;</w:t>
      </w:r>
    </w:p>
    <w:p w:rsidR="004C6B25" w:rsidRPr="00B131B9" w:rsidRDefault="004C6B25" w:rsidP="004C6B25">
      <w:pPr>
        <w:numPr>
          <w:ilvl w:val="0"/>
          <w:numId w:val="5"/>
        </w:numPr>
        <w:shd w:val="clear" w:color="auto" w:fill="FDFDFD"/>
        <w:spacing w:after="0"/>
        <w:ind w:left="0" w:hanging="3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20–30 кг калия;</w:t>
      </w:r>
    </w:p>
    <w:p w:rsidR="004C6B25" w:rsidRPr="00B131B9" w:rsidRDefault="004C6B25" w:rsidP="004C6B25">
      <w:pPr>
        <w:numPr>
          <w:ilvl w:val="0"/>
          <w:numId w:val="5"/>
        </w:numPr>
        <w:shd w:val="clear" w:color="auto" w:fill="FDFDFD"/>
        <w:spacing w:after="0"/>
        <w:ind w:left="0" w:hanging="3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25–30 кг кальция;</w:t>
      </w:r>
    </w:p>
    <w:p w:rsidR="004C6B25" w:rsidRPr="00B131B9" w:rsidRDefault="004C6B25" w:rsidP="004C6B25">
      <w:pPr>
        <w:numPr>
          <w:ilvl w:val="0"/>
          <w:numId w:val="5"/>
        </w:numPr>
        <w:shd w:val="clear" w:color="auto" w:fill="FDFDFD"/>
        <w:spacing w:after="0"/>
        <w:ind w:left="0" w:hanging="3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8–13 кг магния.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 действующей технологической карте возделывания гороха на зерно, глубину заделки диктуют показатели грунта. Глубина заделывания семян зависит от почвы: легкие и сухие — от 6 до 8 см (в редких случаях — 10 см), влажные и тяжелые — 5–6 см. Неправильно выбранная глубина заделки снижает количество всходов.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посева, особенно в сухую погоду,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правило,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проводят прикатывание кольчато-шпоровыми катками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улучшить контакт семян с почвой и поднять влагу с нижних слоев к семенам. 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Известно, что г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орох сил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 страдает от сорных растений, поэтому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ерез 4-5 дней после посева, когда всходы сорных растений находятся в фазе белой ниточки, 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проводят довсходовое боронование ср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едними зубовыми боронами БЗСС-1. Эта операция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уничтожить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60-80% однолетних сорняков.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фазе 3-5 листьев, проводят боронование всходов в дневные часы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Именно в это время </w:t>
      </w: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тургорное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состояние растений уменьшается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1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B1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болезни гороха - аскохитоз, корневые гнили и пероноспороз – ложная мучнистая роса. Последнее заболевание особенно опасно,</w:t>
      </w:r>
      <w:r w:rsidRPr="00EB1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при его сильном развитии недобор урожая зерна может достигать 75%. Развитию пероноспороза гороха способствует влажная прохладная (среднесуточная температура 15-17 градусов) погода.</w:t>
      </w: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Фунгицидов, зарегистрированных против этой болезни гороха нет.</w:t>
      </w:r>
      <w:r w:rsidRPr="00EB1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правило, возбудители грибных и бактериальных инфекций находятся либо внутри зерновок семян, либо в почве и на растительных остатках. Поэтому основными мерами борьбы являются севооборот, удаление заражённых растительных остатков, контроль и протравливание семенного материала. 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борьбы с корневыми гнилями и их профилактики используют фунгициды и биологические препараты: Фундазол, Триходермин, Трихофит, Фитолавин, Бордосская жидкость. 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вредители гороха (тли,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D3">
        <w:rPr>
          <w:rFonts w:ascii="Times New Roman" w:hAnsi="Times New Roman" w:cs="Times New Roman"/>
          <w:color w:val="000000" w:themeColor="text1"/>
          <w:sz w:val="28"/>
          <w:szCs w:val="28"/>
        </w:rPr>
        <w:t>огнёвка, различные виды брухуса, клубеньковый долгоносик) также требуют постоянного мониторинга и запасов инсектицидов на складах.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это уже тема отдельной консультации.</w:t>
      </w: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B25" w:rsidRPr="00EB1CD3" w:rsidRDefault="004C6B25" w:rsidP="004C6B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B25" w:rsidRPr="00EB1CD3" w:rsidRDefault="004C6B25" w:rsidP="004C6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B94EE9" w:rsidRDefault="00B94EE9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C5196" w:rsidRDefault="002C5196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013DE3" w:rsidRDefault="00013DE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A0" w:rsidRDefault="001613A0" w:rsidP="00967ED7">
      <w:pPr>
        <w:spacing w:after="0" w:line="240" w:lineRule="auto"/>
      </w:pPr>
      <w:r>
        <w:separator/>
      </w:r>
    </w:p>
  </w:endnote>
  <w:endnote w:type="continuationSeparator" w:id="1">
    <w:p w:rsidR="001613A0" w:rsidRDefault="001613A0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6D2F27">
        <w:pPr>
          <w:pStyle w:val="aa"/>
          <w:jc w:val="center"/>
        </w:pPr>
        <w:fldSimple w:instr=" PAGE   \* MERGEFORMAT ">
          <w:r w:rsidR="00013DE3">
            <w:rPr>
              <w:noProof/>
            </w:rPr>
            <w:t>2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A0" w:rsidRDefault="001613A0" w:rsidP="00967ED7">
      <w:pPr>
        <w:spacing w:after="0" w:line="240" w:lineRule="auto"/>
      </w:pPr>
      <w:r>
        <w:separator/>
      </w:r>
    </w:p>
  </w:footnote>
  <w:footnote w:type="continuationSeparator" w:id="1">
    <w:p w:rsidR="001613A0" w:rsidRDefault="001613A0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613A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C6B25"/>
    <w:rsid w:val="004F4C6A"/>
    <w:rsid w:val="0050591B"/>
    <w:rsid w:val="00514AA0"/>
    <w:rsid w:val="00514B25"/>
    <w:rsid w:val="00515AC6"/>
    <w:rsid w:val="005215B2"/>
    <w:rsid w:val="00526BFF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5D69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2023-11-14T08:30:00Z</cp:lastPrinted>
  <dcterms:created xsi:type="dcterms:W3CDTF">2024-03-27T11:56:00Z</dcterms:created>
  <dcterms:modified xsi:type="dcterms:W3CDTF">2024-03-28T08:55:00Z</dcterms:modified>
</cp:coreProperties>
</file>